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EC39A" w14:textId="281C05A1" w:rsidR="0015683C" w:rsidRPr="004B75FD" w:rsidRDefault="0026489B" w:rsidP="0026489B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Say Yes </w:t>
      </w:r>
      <w:r w:rsidR="00687950" w:rsidRPr="004B75F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Integrated Health Pilot</w:t>
      </w:r>
    </w:p>
    <w:p w14:paraId="2E64213E" w14:textId="509F0E32" w:rsidR="00687950" w:rsidRPr="004B75FD" w:rsidRDefault="00687950" w:rsidP="0026489B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4B75F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Frequently Asked Questions</w:t>
      </w:r>
      <w:r w:rsidR="00642A33" w:rsidRPr="004B75F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for Families and Scholars</w:t>
      </w:r>
    </w:p>
    <w:p w14:paraId="18A856C2" w14:textId="77777777" w:rsidR="00252F59" w:rsidRPr="004B75FD" w:rsidRDefault="00252F59" w:rsidP="0032005A">
      <w:pPr>
        <w:spacing w:after="160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u w:val="single"/>
        </w:rPr>
      </w:pPr>
    </w:p>
    <w:p w14:paraId="039F0990" w14:textId="7F28F8E1" w:rsidR="00CA540C" w:rsidRPr="00CB2078" w:rsidRDefault="00D56150" w:rsidP="00CB2078">
      <w:pPr>
        <w:numPr>
          <w:ilvl w:val="0"/>
          <w:numId w:val="40"/>
        </w:numPr>
        <w:spacing w:after="24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What is </w:t>
      </w:r>
      <w:r w:rsidR="0015683C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the 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Say Yes </w:t>
      </w:r>
      <w:r w:rsidR="006D03A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“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Integrated Health</w:t>
      </w:r>
      <w:r w:rsidR="0015683C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D03A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Pilot”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? </w:t>
      </w:r>
      <w:r w:rsidR="00CA540C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A540C" w:rsidRPr="00CB2078">
        <w:rPr>
          <w:rFonts w:asciiTheme="minorHAnsi" w:hAnsiTheme="minorHAnsi" w:cstheme="minorHAnsi"/>
          <w:sz w:val="24"/>
          <w:szCs w:val="24"/>
        </w:rPr>
        <w:t xml:space="preserve">One goal of Say Yes Cleveland is to ensure scholars have consistent on-site access to integrated physical and mental health services. To reach this goal, Say Yes created an Integrated Health Task Force (IHTF) of </w:t>
      </w:r>
      <w:r w:rsidR="0021473C" w:rsidRPr="00CB2078">
        <w:rPr>
          <w:rFonts w:asciiTheme="minorHAnsi" w:hAnsiTheme="minorHAnsi" w:cstheme="minorHAnsi"/>
          <w:sz w:val="24"/>
          <w:szCs w:val="24"/>
        </w:rPr>
        <w:t>local</w:t>
      </w:r>
      <w:r w:rsidR="00CA540C" w:rsidRPr="00CB2078">
        <w:rPr>
          <w:rFonts w:asciiTheme="minorHAnsi" w:hAnsiTheme="minorHAnsi" w:cstheme="minorHAnsi"/>
          <w:sz w:val="24"/>
          <w:szCs w:val="24"/>
        </w:rPr>
        <w:t xml:space="preserve"> experts from CMSD, the City of Cleveland, Cuyahoga County, foundations, major health systems, mental health providers, community-based organizations, and institutions of higher education.</w:t>
      </w:r>
    </w:p>
    <w:p w14:paraId="65423309" w14:textId="3226D1C3" w:rsidR="007B76F3" w:rsidRPr="00CB2078" w:rsidRDefault="00CA540C" w:rsidP="00CB2078">
      <w:pPr>
        <w:spacing w:after="240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Task Force </w:t>
      </w:r>
      <w:r w:rsidR="00BD7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designed </w:t>
      </w:r>
      <w:r w:rsidR="00D5464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this </w:t>
      </w:r>
      <w:r w:rsidR="00BD7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pilot program to </w:t>
      </w:r>
      <w:r w:rsidR="00D5464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understand </w:t>
      </w:r>
      <w:r w:rsidR="00BD7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how to </w:t>
      </w:r>
      <w:r w:rsidR="00F46B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increase</w:t>
      </w:r>
      <w:r w:rsidR="00BD7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access to and use of health care services in school </w:t>
      </w:r>
      <w:r w:rsidR="000E2B6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using virtual tools</w:t>
      </w:r>
      <w:r w:rsidR="00BD7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. Four Say Yes schools were chosen to participate in this pilot. Health care providers in the Cleveland area applied for grants to serve these schools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="00BD7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eight were chosen to participate in the pilot. </w:t>
      </w:r>
      <w:r w:rsidR="0021473C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Task Force matched 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providers and schools </w:t>
      </w:r>
      <w:r w:rsidR="0021473C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based on need and location to make sure every scholar in the four pilot schools 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will </w:t>
      </w:r>
      <w:r w:rsidR="0021473C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be able to access the care they need.</w:t>
      </w:r>
    </w:p>
    <w:p w14:paraId="1ABF29DC" w14:textId="5D38FB4A" w:rsidR="00CA540C" w:rsidRPr="00CB2078" w:rsidRDefault="0021473C" w:rsidP="00CB2078">
      <w:pPr>
        <w:spacing w:after="240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For now, most </w:t>
      </w:r>
      <w:r w:rsidR="00A6567F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health care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services will be provided virtually, using telehealth,</w:t>
      </w:r>
      <w:r w:rsidR="00A6567F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to help keep our community safe as the coronavirus continues to spread. Y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our 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scholar’s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principal will share details as things change down the road.</w:t>
      </w:r>
    </w:p>
    <w:p w14:paraId="4658A41F" w14:textId="3569538F" w:rsidR="007B76F3" w:rsidRPr="00CB2078" w:rsidRDefault="007B76F3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What services will be provided?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 Health services offered include well-check/annual physical visits, care for ongoing needs your scholar might have like chronic diseases, treatment for unexpected illnesses or injuries, and mental health services.</w:t>
      </w:r>
    </w:p>
    <w:p w14:paraId="7EE74CCC" w14:textId="1ECB5910" w:rsidR="00DD5A94" w:rsidRPr="00CB2078" w:rsidRDefault="00D56150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How is </w:t>
      </w:r>
      <w:r w:rsidR="006D03A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this program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different from </w:t>
      </w:r>
      <w:r w:rsidR="006D03A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the health services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="006D03A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’s school already offers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?</w:t>
      </w:r>
      <w:r w:rsidR="006879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D5A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Your scholar will still have access to services from trusted school staff, like the school nurse, school psychologist, guidance counselor, and others. </w:t>
      </w:r>
      <w:r w:rsidR="004B75F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If your scholar is already working with a professional from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an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organization</w:t>
      </w:r>
      <w:r w:rsidR="004B75F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that 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they were connected to through their</w:t>
      </w:r>
      <w:r w:rsidR="004B75F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school,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that will not change</w:t>
      </w:r>
      <w:r w:rsidR="004B75F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DD5A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This program adds more options for your scholar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to access health visits, particularly </w:t>
      </w:r>
      <w:r w:rsidR="00DD5A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to telehealth/virtual visits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ADD865B" w14:textId="60758C15" w:rsidR="00766630" w:rsidRPr="00CB2078" w:rsidRDefault="00DD5A94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Which providers are serving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’s school?</w:t>
      </w:r>
      <w:r w:rsidR="00CA540C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6663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Each of the pilot schools has been assigned one primary </w:t>
      </w:r>
      <w:r w:rsidR="007B76F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provider </w:t>
      </w:r>
      <w:r w:rsidR="0076663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one secondary provider for </w:t>
      </w:r>
      <w:r w:rsidR="00976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both </w:t>
      </w:r>
      <w:r w:rsidR="0076663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physical </w:t>
      </w:r>
      <w:r w:rsidR="00976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mental health </w:t>
      </w:r>
      <w:r w:rsidR="0076663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services. The table below shows the</w:t>
      </w:r>
      <w:r w:rsidR="00976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school and provider</w:t>
      </w:r>
      <w:r w:rsidR="0076663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assignments. </w:t>
      </w:r>
      <w:r w:rsidR="00976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If your scholar needs health services, the school will connect them to the primary or secondary provider based on </w:t>
      </w:r>
      <w:r w:rsidR="009B7D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the provider’s</w:t>
      </w:r>
      <w:r w:rsidR="0097609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availability.</w:t>
      </w:r>
    </w:p>
    <w:tbl>
      <w:tblPr>
        <w:tblW w:w="9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620"/>
        <w:gridCol w:w="1980"/>
        <w:gridCol w:w="1890"/>
        <w:gridCol w:w="1901"/>
      </w:tblGrid>
      <w:tr w:rsidR="00766630" w:rsidRPr="00CB2078" w14:paraId="3341414D" w14:textId="77777777" w:rsidTr="00766630">
        <w:trPr>
          <w:trHeight w:val="113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BBA1" w14:textId="258B55E9" w:rsidR="00766630" w:rsidRPr="00CB2078" w:rsidRDefault="00766630" w:rsidP="00CB207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C9DC" w14:textId="3B345189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Primary </w:t>
            </w:r>
            <w:r w:rsidR="007B76F3"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Mental </w:t>
            </w: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Health Provider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C381" w14:textId="04C34D70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Secondary </w:t>
            </w:r>
            <w:r w:rsidR="007B76F3"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Mental </w:t>
            </w: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Health Provider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09BF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Primary Physical Health Provider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D515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Secondary Physical Health Provider</w:t>
            </w:r>
          </w:p>
        </w:tc>
      </w:tr>
      <w:tr w:rsidR="00766630" w:rsidRPr="00CB2078" w14:paraId="0836B3B7" w14:textId="77777777" w:rsidTr="00766630">
        <w:trPr>
          <w:trHeight w:val="11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E310" w14:textId="0814E30E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Orchard 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D093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Applewood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8998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Bellefaire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5F2B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Care Alliance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AB05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Neighborhood Family Practice</w:t>
            </w:r>
          </w:p>
        </w:tc>
      </w:tr>
      <w:tr w:rsidR="00766630" w:rsidRPr="00CB2078" w14:paraId="0324E655" w14:textId="77777777" w:rsidTr="00766630">
        <w:trPr>
          <w:trHeight w:val="11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1F3D" w14:textId="115CE8DA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Mary Bethune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43FF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Beech Brook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697F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Bellefaire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2180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MetroHealth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08CA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Care Alliance</w:t>
            </w:r>
          </w:p>
        </w:tc>
      </w:tr>
      <w:tr w:rsidR="00766630" w:rsidRPr="00CB2078" w14:paraId="20DAB742" w14:textId="77777777" w:rsidTr="00766630">
        <w:trPr>
          <w:trHeight w:val="11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0027" w14:textId="01D6F310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John Marshall School of Civic &amp; Business Leadership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B7A2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Guidestone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75B4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Bellefaire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488B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Neighborhood Family Practice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C147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MetroHealth</w:t>
            </w:r>
          </w:p>
        </w:tc>
      </w:tr>
      <w:tr w:rsidR="00766630" w:rsidRPr="00CB2078" w14:paraId="1CC7BC69" w14:textId="77777777" w:rsidTr="00766630">
        <w:trPr>
          <w:trHeight w:val="11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1933" w14:textId="73AD57E0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John Adams College &amp; Career Academy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722D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PEP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E81E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Bellefaire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811F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MetroHealth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3AE9" w14:textId="77777777" w:rsidR="00766630" w:rsidRPr="00CB2078" w:rsidRDefault="00766630" w:rsidP="00CB207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2078">
              <w:rPr>
                <w:rFonts w:asciiTheme="minorHAnsi" w:eastAsia="Times New Roman" w:hAnsiTheme="minorHAnsi" w:cstheme="minorHAnsi"/>
                <w:sz w:val="24"/>
                <w:szCs w:val="24"/>
              </w:rPr>
              <w:t>Care Alliance</w:t>
            </w:r>
          </w:p>
        </w:tc>
      </w:tr>
    </w:tbl>
    <w:p w14:paraId="6A6B930F" w14:textId="77777777" w:rsidR="00766630" w:rsidRPr="00CB2078" w:rsidRDefault="00766630" w:rsidP="00CB2078">
      <w:pPr>
        <w:spacing w:after="24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30526DD" w14:textId="77777777" w:rsidR="0050774B" w:rsidRPr="0050774B" w:rsidRDefault="004B75FD" w:rsidP="0050774B">
      <w:pPr>
        <w:pStyle w:val="ListParagraph"/>
        <w:numPr>
          <w:ilvl w:val="0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How do I get health care services for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through this program? </w:t>
      </w:r>
      <w:r w:rsidR="003F0BC3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If your scholar attends one of the participating schools, </w:t>
      </w:r>
      <w:r w:rsidR="007B6FA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follow these steps:</w:t>
      </w:r>
    </w:p>
    <w:p w14:paraId="05747A0B" w14:textId="208A8996" w:rsidR="0050774B" w:rsidRPr="0050774B" w:rsidRDefault="0050774B" w:rsidP="0050774B">
      <w:pPr>
        <w:pStyle w:val="ListParagraph"/>
        <w:numPr>
          <w:ilvl w:val="1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0774B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Step 1: Download the form</w:t>
      </w:r>
      <w:r w:rsidRPr="0050774B">
        <w:rPr>
          <w:rFonts w:ascii="Calibri" w:eastAsia="Times New Roman" w:hAnsi="Calibri" w:cs="Calibri"/>
          <w:color w:val="000000"/>
          <w:sz w:val="24"/>
          <w:szCs w:val="24"/>
        </w:rPr>
        <w:t xml:space="preserve"> here: </w:t>
      </w:r>
      <w:hyperlink r:id="rId7" w:history="1">
        <w:r w:rsidRPr="0050774B">
          <w:rPr>
            <w:rStyle w:val="Hyperlink"/>
            <w:rFonts w:ascii="Calibri" w:eastAsia="Times New Roman" w:hAnsi="Calibri" w:cs="Calibri"/>
            <w:sz w:val="24"/>
            <w:szCs w:val="24"/>
          </w:rPr>
          <w:t>https://sayyescleveland.org/integrated-health/</w:t>
        </w:r>
      </w:hyperlink>
      <w:r w:rsidRPr="0050774B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5F6C97">
        <w:rPr>
          <w:rFonts w:ascii="Calibri" w:eastAsia="Times New Roman" w:hAnsi="Calibri" w:cs="Calibri"/>
          <w:color w:val="000000"/>
          <w:sz w:val="24"/>
          <w:szCs w:val="24"/>
        </w:rPr>
        <w:t xml:space="preserve">You can also work with your school’s Say Yes Family Support Specialist to get a printed copy of the form to sign. </w:t>
      </w:r>
    </w:p>
    <w:p w14:paraId="6E67C595" w14:textId="77777777" w:rsidR="0050774B" w:rsidRPr="0050774B" w:rsidRDefault="0050774B" w:rsidP="0050774B">
      <w:pPr>
        <w:pStyle w:val="ListParagraph"/>
        <w:numPr>
          <w:ilvl w:val="1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0774B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Step 2</w:t>
      </w:r>
      <w:r w:rsidRPr="0050774B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Pr="0050774B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Complete the form</w:t>
      </w:r>
      <w:r w:rsidRPr="0050774B">
        <w:rPr>
          <w:rFonts w:ascii="Calibri" w:eastAsia="Times New Roman" w:hAnsi="Calibri" w:cs="Calibri"/>
          <w:color w:val="000000"/>
          <w:sz w:val="24"/>
          <w:szCs w:val="24"/>
        </w:rPr>
        <w:t xml:space="preserve">. Follow the directions on the form. </w:t>
      </w:r>
      <w:r w:rsidRPr="0050774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Make sure you sign all the sections with signature lines.</w:t>
      </w:r>
    </w:p>
    <w:p w14:paraId="290A4EC1" w14:textId="180EE677" w:rsidR="00D56150" w:rsidRPr="0050774B" w:rsidRDefault="0050774B" w:rsidP="0050774B">
      <w:pPr>
        <w:pStyle w:val="ListParagraph"/>
        <w:numPr>
          <w:ilvl w:val="1"/>
          <w:numId w:val="40"/>
        </w:numPr>
        <w:spacing w:after="240"/>
        <w:contextualSpacing w:val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774B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Step 3</w:t>
      </w:r>
      <w:r w:rsidRPr="0050774B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Pr="0050774B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Return the form to your school by February 1st.</w:t>
      </w:r>
      <w:r w:rsidRPr="0050774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Your principal will tell you the best way to do this. </w:t>
      </w:r>
      <w:r w:rsidR="00253D69" w:rsidRPr="0050774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</w:p>
    <w:p w14:paraId="03E9EA35" w14:textId="4ED2D830" w:rsidR="00D56150" w:rsidRPr="00CB2078" w:rsidRDefault="00D56150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How much does it cost?</w:t>
      </w:r>
      <w:r w:rsidR="006D03A7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There is </w:t>
      </w:r>
      <w:r w:rsidR="000E2B6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little or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no cost for Say Yes families</w:t>
      </w:r>
      <w:r w:rsidR="007B6FA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when accessing health services through this pilot program</w:t>
      </w:r>
      <w:r w:rsidR="005F6C97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F465F35" w14:textId="1ABAB30D" w:rsidR="0015683C" w:rsidRPr="00CB2078" w:rsidRDefault="0015683C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How is it being paid for?</w:t>
      </w:r>
      <w:r w:rsidR="000E2B60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E2B6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Funding is coming from a few places</w:t>
      </w:r>
      <w:r w:rsidR="007B6FA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including, p</w:t>
      </w:r>
      <w:r w:rsidR="000E2B6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hilanthropic supporters </w:t>
      </w:r>
      <w:r w:rsidR="007B6FA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="000E2B6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The Cleveland Foundation, the Gund Foundation, and The Bruening Foundation</w:t>
      </w:r>
      <w:r w:rsidR="007B6FA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as well as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Medicaid, </w:t>
      </w:r>
      <w:r w:rsidR="000E2B6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the state budget, and the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Cleveland Metropolitan School District.</w:t>
      </w:r>
    </w:p>
    <w:p w14:paraId="6EDB3FF2" w14:textId="0EA86CE9" w:rsidR="00933B78" w:rsidRPr="00CB2078" w:rsidRDefault="0015683C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What is the consent form you are asking me to complete?</w:t>
      </w:r>
      <w:r w:rsidR="006879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This form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says that the school is allowed to share information about 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their health with the organizations listed on the </w:t>
      </w:r>
      <w:r w:rsidR="0095084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last page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of the form – they are local health care providers.</w:t>
      </w:r>
    </w:p>
    <w:p w14:paraId="5CF0C89B" w14:textId="1B0B96AD" w:rsidR="00933B78" w:rsidRPr="00CB2078" w:rsidRDefault="00933B78" w:rsidP="00CB2078">
      <w:pPr>
        <w:pStyle w:val="ListParagraph"/>
        <w:spacing w:after="240"/>
        <w:ind w:left="36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The health services consent form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also says that the people who are working in the school to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support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’s health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needs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can talk about 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’s needs with each other.</w:t>
      </w:r>
    </w:p>
    <w:p w14:paraId="35A0F3B1" w14:textId="1D258924" w:rsidR="00687950" w:rsidRPr="00CB2078" w:rsidRDefault="00023A66" w:rsidP="00CB2078">
      <w:pPr>
        <w:pStyle w:val="ListParagraph"/>
        <w:spacing w:after="240"/>
        <w:ind w:left="36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Finally, the form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gives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permission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for the health care providers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listed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 the </w:t>
      </w:r>
      <w:r w:rsidR="0095084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last page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 treat 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if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they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have a health care need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In a virtual world, you </w:t>
      </w:r>
      <w:r w:rsidR="00DD5A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will continue to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manage 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’s care. Once school reopens, in nearly all cases, someone will call you before giving 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any treatment </w:t>
      </w:r>
      <w:r w:rsidR="006879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to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talk about what’s going on.</w:t>
      </w:r>
    </w:p>
    <w:p w14:paraId="68CF1DBC" w14:textId="188BFD57" w:rsidR="00D56150" w:rsidRPr="00CB2078" w:rsidRDefault="00933B78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Do I have to </w:t>
      </w:r>
      <w:r w:rsidR="0032005A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participate in this program</w:t>
      </w:r>
      <w:r w:rsidR="00D56150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?</w:t>
      </w:r>
      <w:r w:rsidR="00D561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No</w:t>
      </w:r>
      <w:r w:rsidR="00D561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Participation in the pilot program is voluntary. Even if your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scholar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does not participate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 this program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, they w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ill still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be able to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access the school nurse and other existing school staff just as they do now.</w:t>
      </w:r>
    </w:p>
    <w:p w14:paraId="5D1ACAAC" w14:textId="71126CAF" w:rsidR="000E2B60" w:rsidRPr="00CB2078" w:rsidRDefault="000E2B60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lastRenderedPageBreak/>
        <w:t>What if I change my mind?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You can opt out any time, even if you already signed the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health services consent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form. Contact your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scholar’s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Family Support Specialist or Principal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for additional information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E941762" w14:textId="6141E39D" w:rsidR="00D56150" w:rsidRPr="00CB2078" w:rsidRDefault="00D56150" w:rsidP="00CB2078">
      <w:pPr>
        <w:pStyle w:val="ListParagraph"/>
        <w:numPr>
          <w:ilvl w:val="0"/>
          <w:numId w:val="40"/>
        </w:numPr>
        <w:spacing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Do I have to use </w:t>
      </w:r>
      <w:r w:rsidR="00933B78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the health care provider assigned to my scholar’s school?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No.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You</w:t>
      </w:r>
      <w:r w:rsidR="00C95E65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r scholar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can continue to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access the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chool 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urse</w:t>
      </w:r>
      <w:r w:rsidR="00933B78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other existing school staff such as counselors and </w:t>
      </w:r>
      <w:r w:rsidR="00C95E65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psychologists,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and work with other health care providers outside the school.</w:t>
      </w:r>
    </w:p>
    <w:p w14:paraId="1534E541" w14:textId="67EA205F" w:rsidR="006D03A7" w:rsidRPr="00CB2078" w:rsidRDefault="006D03A7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already has a doctor. How does that fit in here?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can and should continue </w:t>
      </w:r>
      <w:r w:rsidR="0058585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seeing</w:t>
      </w:r>
      <w:r w:rsidR="0095084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any current doctors </w:t>
      </w:r>
      <w:r w:rsidR="00C95E65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 health care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providers. </w:t>
      </w:r>
      <w:r w:rsidR="00DD5A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The</w:t>
      </w:r>
      <w:r w:rsidR="00C95E65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pilot program’s</w:t>
      </w:r>
      <w:r w:rsidR="00DD5A94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new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services are available if your </w:t>
      </w:r>
      <w:r w:rsidR="00184C19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needs anything </w:t>
      </w:r>
      <w:r w:rsidR="0095084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else OR if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you don’t already have a provider </w:t>
      </w:r>
      <w:r w:rsidR="00950842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with whom you feel comfortable.</w:t>
      </w:r>
    </w:p>
    <w:p w14:paraId="0D174840" w14:textId="4D82A1CF" w:rsidR="00687950" w:rsidRPr="00CB2078" w:rsidRDefault="00D56150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Are the </w:t>
      </w:r>
      <w:r w:rsidR="0001617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health 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services offered to all of my family members or just the </w:t>
      </w:r>
      <w:r w:rsidR="00016177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(s) enrolled in the pilot schools?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Right now, only the scholars enrolled in Orchard STEM, Mary Bethune, John Marshall School of Civic and Business Leadership, and John Adams College and Career Academy</w:t>
      </w:r>
      <w:r w:rsidR="00016177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are eligible to participate in the pilot program.</w:t>
      </w:r>
    </w:p>
    <w:p w14:paraId="0102F7DB" w14:textId="68C30870" w:rsidR="00301049" w:rsidRPr="00CB2078" w:rsidRDefault="00301049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How will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’s </w:t>
      </w:r>
      <w:r w:rsidR="0058585D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information</w:t>
      </w:r>
      <w:r w:rsidR="000E2B60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be protected?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B150B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There are strict laws about who can view your scholar’s information.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More detail can be found in the consent form. </w:t>
      </w:r>
      <w:r w:rsidR="00016177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You can also contact your scholar’s principal or family support specialist for more information.</w:t>
      </w:r>
    </w:p>
    <w:p w14:paraId="7B872432" w14:textId="31A764BA" w:rsidR="00687950" w:rsidRPr="00CB2078" w:rsidRDefault="00016177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Which </w:t>
      </w:r>
      <w:r w:rsidR="00D56150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school staff members 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will be aware of the health services my scholar uses?</w:t>
      </w:r>
      <w:r w:rsidR="006D03A7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 order to support your scholar’s health needs 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f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amily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upport </w:t>
      </w:r>
      <w:r w:rsidR="0032005A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pecialist,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chool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urse,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chool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023A66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sychologist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, and other school personnel may have access to information about the services used by your scholar. More information can be found in the health services consent form.</w:t>
      </w:r>
    </w:p>
    <w:p w14:paraId="1C7FAB33" w14:textId="27866CAD" w:rsidR="00687950" w:rsidRPr="00CB2078" w:rsidRDefault="00D56150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What information will be shared with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’s teacher(s)?</w:t>
      </w:r>
      <w:r w:rsidR="006879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F4DDD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No information about your scholar’s health needs or services will be shared with your scholar’s teacher unless you give permission.</w:t>
      </w:r>
    </w:p>
    <w:p w14:paraId="5F2A44B1" w14:textId="08AE7650" w:rsidR="00687950" w:rsidRPr="00CB2078" w:rsidRDefault="00023A66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Do you</w:t>
      </w:r>
      <w:r w:rsidR="00D56150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cover any transportation costs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to get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to a health care provider</w:t>
      </w:r>
      <w:r w:rsidR="00D56150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?</w:t>
      </w:r>
      <w:r w:rsidR="006879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561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No. Say Yes does not have the resources to cover transportation at this time.</w:t>
      </w:r>
    </w:p>
    <w:p w14:paraId="45DB18D5" w14:textId="77777777" w:rsidR="000E2B60" w:rsidRPr="00CB2078" w:rsidRDefault="00D56150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Does my </w:t>
      </w:r>
      <w:r w:rsidR="00184C19"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scholar</w:t>
      </w:r>
      <w:r w:rsidRPr="00CB2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have to use the Integrated Health services/providers to be eligible for a Say Yes scholarship?</w:t>
      </w:r>
      <w:r w:rsidR="00687950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6D03A7" w:rsidRPr="00CB2078">
        <w:rPr>
          <w:rFonts w:asciiTheme="minorHAnsi" w:eastAsia="Times New Roman" w:hAnsiTheme="minorHAnsi" w:cstheme="minorHAnsi"/>
          <w:color w:val="000000"/>
          <w:sz w:val="24"/>
          <w:szCs w:val="24"/>
        </w:rPr>
        <w:t>o. This is a separate program from the Say Yes scholarship program.</w:t>
      </w:r>
    </w:p>
    <w:p w14:paraId="0BB480E3" w14:textId="664D78C4" w:rsidR="000B150B" w:rsidRPr="00CB2078" w:rsidRDefault="000B150B" w:rsidP="00CB2078">
      <w:pPr>
        <w:pStyle w:val="ListParagraph"/>
        <w:numPr>
          <w:ilvl w:val="0"/>
          <w:numId w:val="40"/>
        </w:numPr>
        <w:spacing w:before="100" w:beforeAutospacing="1" w:after="24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B2078">
        <w:rPr>
          <w:rFonts w:asciiTheme="minorHAnsi" w:hAnsiTheme="minorHAnsi" w:cstheme="minorHAnsi"/>
          <w:b/>
          <w:bCs/>
          <w:sz w:val="24"/>
          <w:szCs w:val="24"/>
        </w:rPr>
        <w:t>Is this put on a school transcript?</w:t>
      </w:r>
      <w:r w:rsidRPr="00CB2078">
        <w:rPr>
          <w:rFonts w:asciiTheme="minorHAnsi" w:hAnsiTheme="minorHAnsi" w:cstheme="minorHAnsi"/>
          <w:sz w:val="24"/>
          <w:szCs w:val="24"/>
        </w:rPr>
        <w:t xml:space="preserve"> </w:t>
      </w:r>
      <w:r w:rsidR="000E2B60" w:rsidRPr="00CB2078">
        <w:rPr>
          <w:rFonts w:asciiTheme="minorHAnsi" w:hAnsiTheme="minorHAnsi" w:cstheme="minorHAnsi"/>
          <w:sz w:val="24"/>
          <w:szCs w:val="24"/>
        </w:rPr>
        <w:t xml:space="preserve">No. </w:t>
      </w:r>
      <w:r w:rsidRPr="00CB2078">
        <w:rPr>
          <w:rFonts w:asciiTheme="minorHAnsi" w:hAnsiTheme="minorHAnsi" w:cstheme="minorHAnsi"/>
          <w:sz w:val="24"/>
          <w:szCs w:val="24"/>
        </w:rPr>
        <w:t>As is the case now, all health records are documented in the student’s eSchoolPLUS record. This record is not attached to official academic transcripts.</w:t>
      </w:r>
    </w:p>
    <w:p w14:paraId="71C2D345" w14:textId="77777777" w:rsidR="000B150B" w:rsidRPr="000E2B60" w:rsidRDefault="000B150B" w:rsidP="0032005A">
      <w:pPr>
        <w:spacing w:before="100" w:beforeAutospacing="1" w:after="24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6B7BD74" w14:textId="77777777" w:rsidR="00D56150" w:rsidRPr="004B75FD" w:rsidRDefault="00D56150" w:rsidP="0032005A">
      <w:pPr>
        <w:spacing w:after="2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E74C62A" w14:textId="77777777" w:rsidR="00D56150" w:rsidRPr="004B75FD" w:rsidRDefault="00D56150" w:rsidP="0032005A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D56150" w:rsidRPr="004B75FD" w:rsidSect="002F7FC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8526" w14:textId="77777777" w:rsidR="0033371D" w:rsidRDefault="0033371D" w:rsidP="00642A33">
      <w:r>
        <w:separator/>
      </w:r>
    </w:p>
  </w:endnote>
  <w:endnote w:type="continuationSeparator" w:id="0">
    <w:p w14:paraId="62234F35" w14:textId="77777777" w:rsidR="0033371D" w:rsidRDefault="0033371D" w:rsidP="006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30126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C15CA" w14:textId="4066B6B5" w:rsidR="00642A33" w:rsidRDefault="00642A33" w:rsidP="00105C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6A1BAD" w14:textId="77777777" w:rsidR="00642A33" w:rsidRDefault="00642A33" w:rsidP="00642A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2391790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6098C0D0" w14:textId="29F66F72" w:rsidR="00642A33" w:rsidRPr="00E172CC" w:rsidRDefault="00642A33" w:rsidP="00105C11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172C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172CC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172C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9E203C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E172C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BFB408" w14:textId="77777777" w:rsidR="00642A33" w:rsidRPr="00E172CC" w:rsidRDefault="00642A33" w:rsidP="00642A33">
    <w:pPr>
      <w:pStyle w:val="Footer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154FB" w14:textId="77777777" w:rsidR="0033371D" w:rsidRDefault="0033371D" w:rsidP="00642A33">
      <w:r>
        <w:separator/>
      </w:r>
    </w:p>
  </w:footnote>
  <w:footnote w:type="continuationSeparator" w:id="0">
    <w:p w14:paraId="49AD72B2" w14:textId="77777777" w:rsidR="0033371D" w:rsidRDefault="0033371D" w:rsidP="0064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E3C"/>
    <w:multiLevelType w:val="multilevel"/>
    <w:tmpl w:val="89F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266A9"/>
    <w:multiLevelType w:val="multilevel"/>
    <w:tmpl w:val="4706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43E8E"/>
    <w:multiLevelType w:val="multilevel"/>
    <w:tmpl w:val="0F18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664F3"/>
    <w:multiLevelType w:val="multilevel"/>
    <w:tmpl w:val="253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85D97"/>
    <w:multiLevelType w:val="multilevel"/>
    <w:tmpl w:val="8D3C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86C56"/>
    <w:multiLevelType w:val="hybridMultilevel"/>
    <w:tmpl w:val="EB00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4B02"/>
    <w:multiLevelType w:val="multilevel"/>
    <w:tmpl w:val="B3C2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C633C"/>
    <w:multiLevelType w:val="hybridMultilevel"/>
    <w:tmpl w:val="99D85A42"/>
    <w:lvl w:ilvl="0" w:tplc="5BCC0B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D4C79"/>
    <w:multiLevelType w:val="multilevel"/>
    <w:tmpl w:val="1ED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96D20"/>
    <w:multiLevelType w:val="multilevel"/>
    <w:tmpl w:val="867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2345F"/>
    <w:multiLevelType w:val="multilevel"/>
    <w:tmpl w:val="D43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72527"/>
    <w:multiLevelType w:val="multilevel"/>
    <w:tmpl w:val="1E9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A63D4"/>
    <w:multiLevelType w:val="multilevel"/>
    <w:tmpl w:val="064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02ED6"/>
    <w:multiLevelType w:val="multilevel"/>
    <w:tmpl w:val="FAD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10AD5"/>
    <w:multiLevelType w:val="multilevel"/>
    <w:tmpl w:val="6B68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9357F"/>
    <w:multiLevelType w:val="multilevel"/>
    <w:tmpl w:val="87C2B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522FE"/>
    <w:multiLevelType w:val="hybridMultilevel"/>
    <w:tmpl w:val="3CE8FC34"/>
    <w:lvl w:ilvl="0" w:tplc="5BCC0B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9417B"/>
    <w:multiLevelType w:val="multilevel"/>
    <w:tmpl w:val="BE68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25F88"/>
    <w:multiLevelType w:val="multilevel"/>
    <w:tmpl w:val="6084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3256E"/>
    <w:multiLevelType w:val="multilevel"/>
    <w:tmpl w:val="4EA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95CFE"/>
    <w:multiLevelType w:val="multilevel"/>
    <w:tmpl w:val="770A1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70EC2"/>
    <w:multiLevelType w:val="multilevel"/>
    <w:tmpl w:val="87C2B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B699B"/>
    <w:multiLevelType w:val="multilevel"/>
    <w:tmpl w:val="7CE6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C3B48"/>
    <w:multiLevelType w:val="multilevel"/>
    <w:tmpl w:val="CC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979D7"/>
    <w:multiLevelType w:val="multilevel"/>
    <w:tmpl w:val="DF96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7093A"/>
    <w:multiLevelType w:val="hybridMultilevel"/>
    <w:tmpl w:val="6C92B1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D015A0"/>
    <w:multiLevelType w:val="multilevel"/>
    <w:tmpl w:val="8FCE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A2746"/>
    <w:multiLevelType w:val="hybridMultilevel"/>
    <w:tmpl w:val="DAC425AE"/>
    <w:lvl w:ilvl="0" w:tplc="33302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51B37"/>
    <w:multiLevelType w:val="multilevel"/>
    <w:tmpl w:val="817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91633"/>
    <w:multiLevelType w:val="multilevel"/>
    <w:tmpl w:val="92A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</w:num>
  <w:num w:numId="3">
    <w:abstractNumId w:val="0"/>
  </w:num>
  <w:num w:numId="4">
    <w:abstractNumId w:val="0"/>
  </w:num>
  <w:num w:numId="5">
    <w:abstractNumId w:val="28"/>
  </w:num>
  <w:num w:numId="6">
    <w:abstractNumId w:val="28"/>
  </w:num>
  <w:num w:numId="7">
    <w:abstractNumId w:val="26"/>
  </w:num>
  <w:num w:numId="8">
    <w:abstractNumId w:val="26"/>
  </w:num>
  <w:num w:numId="9">
    <w:abstractNumId w:val="12"/>
  </w:num>
  <w:num w:numId="10">
    <w:abstractNumId w:val="12"/>
  </w:num>
  <w:num w:numId="11">
    <w:abstractNumId w:val="2"/>
  </w:num>
  <w:num w:numId="12">
    <w:abstractNumId w:val="2"/>
  </w:num>
  <w:num w:numId="13">
    <w:abstractNumId w:val="9"/>
  </w:num>
  <w:num w:numId="14">
    <w:abstractNumId w:val="9"/>
  </w:num>
  <w:num w:numId="15">
    <w:abstractNumId w:val="1"/>
  </w:num>
  <w:num w:numId="16">
    <w:abstractNumId w:val="1"/>
  </w:num>
  <w:num w:numId="17">
    <w:abstractNumId w:val="19"/>
  </w:num>
  <w:num w:numId="18">
    <w:abstractNumId w:val="19"/>
  </w:num>
  <w:num w:numId="19">
    <w:abstractNumId w:val="29"/>
  </w:num>
  <w:num w:numId="20">
    <w:abstractNumId w:val="29"/>
  </w:num>
  <w:num w:numId="21">
    <w:abstractNumId w:val="23"/>
  </w:num>
  <w:num w:numId="22">
    <w:abstractNumId w:val="23"/>
  </w:num>
  <w:num w:numId="23">
    <w:abstractNumId w:val="24"/>
  </w:num>
  <w:num w:numId="24">
    <w:abstractNumId w:val="3"/>
  </w:num>
  <w:num w:numId="25">
    <w:abstractNumId w:val="18"/>
  </w:num>
  <w:num w:numId="26">
    <w:abstractNumId w:val="17"/>
  </w:num>
  <w:num w:numId="27">
    <w:abstractNumId w:val="17"/>
  </w:num>
  <w:num w:numId="28">
    <w:abstractNumId w:val="6"/>
  </w:num>
  <w:num w:numId="29">
    <w:abstractNumId w:val="8"/>
  </w:num>
  <w:num w:numId="30">
    <w:abstractNumId w:val="20"/>
  </w:num>
  <w:num w:numId="31">
    <w:abstractNumId w:val="4"/>
  </w:num>
  <w:num w:numId="32">
    <w:abstractNumId w:val="13"/>
  </w:num>
  <w:num w:numId="33">
    <w:abstractNumId w:val="10"/>
  </w:num>
  <w:num w:numId="34">
    <w:abstractNumId w:val="10"/>
  </w:num>
  <w:num w:numId="35">
    <w:abstractNumId w:val="22"/>
  </w:num>
  <w:num w:numId="36">
    <w:abstractNumId w:val="22"/>
  </w:num>
  <w:num w:numId="37">
    <w:abstractNumId w:val="14"/>
  </w:num>
  <w:num w:numId="38">
    <w:abstractNumId w:val="11"/>
  </w:num>
  <w:num w:numId="39">
    <w:abstractNumId w:val="15"/>
  </w:num>
  <w:num w:numId="40">
    <w:abstractNumId w:val="16"/>
  </w:num>
  <w:num w:numId="41">
    <w:abstractNumId w:val="7"/>
  </w:num>
  <w:num w:numId="42">
    <w:abstractNumId w:val="27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50"/>
    <w:rsid w:val="00013C25"/>
    <w:rsid w:val="00016177"/>
    <w:rsid w:val="00023A66"/>
    <w:rsid w:val="00034763"/>
    <w:rsid w:val="00041E5B"/>
    <w:rsid w:val="00047C4E"/>
    <w:rsid w:val="00070696"/>
    <w:rsid w:val="000A0E50"/>
    <w:rsid w:val="000B0D3F"/>
    <w:rsid w:val="000B150B"/>
    <w:rsid w:val="000B78BE"/>
    <w:rsid w:val="000D0A9A"/>
    <w:rsid w:val="000E2B60"/>
    <w:rsid w:val="000F3319"/>
    <w:rsid w:val="00136F34"/>
    <w:rsid w:val="0015683C"/>
    <w:rsid w:val="00163B36"/>
    <w:rsid w:val="00184C19"/>
    <w:rsid w:val="001B10F3"/>
    <w:rsid w:val="001B71B0"/>
    <w:rsid w:val="0021473C"/>
    <w:rsid w:val="00252F59"/>
    <w:rsid w:val="00253D69"/>
    <w:rsid w:val="0026489B"/>
    <w:rsid w:val="00277436"/>
    <w:rsid w:val="002A70A8"/>
    <w:rsid w:val="002F7FC9"/>
    <w:rsid w:val="00301049"/>
    <w:rsid w:val="00303EB2"/>
    <w:rsid w:val="00306815"/>
    <w:rsid w:val="0030773E"/>
    <w:rsid w:val="003122E6"/>
    <w:rsid w:val="0032005A"/>
    <w:rsid w:val="003302E4"/>
    <w:rsid w:val="0033371D"/>
    <w:rsid w:val="00341219"/>
    <w:rsid w:val="00351FAE"/>
    <w:rsid w:val="00364AA6"/>
    <w:rsid w:val="00376297"/>
    <w:rsid w:val="00380BD3"/>
    <w:rsid w:val="003941F0"/>
    <w:rsid w:val="003A6EA1"/>
    <w:rsid w:val="003B5019"/>
    <w:rsid w:val="003C585A"/>
    <w:rsid w:val="003F0BC3"/>
    <w:rsid w:val="00471556"/>
    <w:rsid w:val="004B75FD"/>
    <w:rsid w:val="0050774B"/>
    <w:rsid w:val="005106F0"/>
    <w:rsid w:val="00513EDD"/>
    <w:rsid w:val="00523215"/>
    <w:rsid w:val="00541D7F"/>
    <w:rsid w:val="0058585D"/>
    <w:rsid w:val="005F6C97"/>
    <w:rsid w:val="00642A33"/>
    <w:rsid w:val="00667AB9"/>
    <w:rsid w:val="00687950"/>
    <w:rsid w:val="0069131C"/>
    <w:rsid w:val="00697439"/>
    <w:rsid w:val="006A224B"/>
    <w:rsid w:val="006D03A7"/>
    <w:rsid w:val="006F0C11"/>
    <w:rsid w:val="006F236B"/>
    <w:rsid w:val="00766630"/>
    <w:rsid w:val="00766D98"/>
    <w:rsid w:val="00795869"/>
    <w:rsid w:val="007B6FA8"/>
    <w:rsid w:val="007B76F3"/>
    <w:rsid w:val="007D7C88"/>
    <w:rsid w:val="00820F3C"/>
    <w:rsid w:val="008819C6"/>
    <w:rsid w:val="008C75EB"/>
    <w:rsid w:val="00921339"/>
    <w:rsid w:val="009336E9"/>
    <w:rsid w:val="00933B78"/>
    <w:rsid w:val="00950842"/>
    <w:rsid w:val="00976092"/>
    <w:rsid w:val="009B0185"/>
    <w:rsid w:val="009B7D5A"/>
    <w:rsid w:val="009E203C"/>
    <w:rsid w:val="00A11A01"/>
    <w:rsid w:val="00A637B7"/>
    <w:rsid w:val="00A6567F"/>
    <w:rsid w:val="00AA11D4"/>
    <w:rsid w:val="00AD1994"/>
    <w:rsid w:val="00B15EEA"/>
    <w:rsid w:val="00B30B10"/>
    <w:rsid w:val="00B5773B"/>
    <w:rsid w:val="00B8485E"/>
    <w:rsid w:val="00BA16EB"/>
    <w:rsid w:val="00BD3A2A"/>
    <w:rsid w:val="00BD7092"/>
    <w:rsid w:val="00BE4F49"/>
    <w:rsid w:val="00BE757E"/>
    <w:rsid w:val="00BF4DDD"/>
    <w:rsid w:val="00C22AD2"/>
    <w:rsid w:val="00C43A36"/>
    <w:rsid w:val="00C53695"/>
    <w:rsid w:val="00C67681"/>
    <w:rsid w:val="00C95E65"/>
    <w:rsid w:val="00CA540C"/>
    <w:rsid w:val="00CB2078"/>
    <w:rsid w:val="00D037D7"/>
    <w:rsid w:val="00D42D04"/>
    <w:rsid w:val="00D42FC2"/>
    <w:rsid w:val="00D5464D"/>
    <w:rsid w:val="00D56150"/>
    <w:rsid w:val="00D97DE4"/>
    <w:rsid w:val="00DD5A94"/>
    <w:rsid w:val="00DE77B2"/>
    <w:rsid w:val="00DF5D12"/>
    <w:rsid w:val="00E172CC"/>
    <w:rsid w:val="00E3173F"/>
    <w:rsid w:val="00E368C0"/>
    <w:rsid w:val="00F24540"/>
    <w:rsid w:val="00F46B94"/>
    <w:rsid w:val="00F827D2"/>
    <w:rsid w:val="00FA4B79"/>
    <w:rsid w:val="00FD48DD"/>
    <w:rsid w:val="00FD5468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7137"/>
  <w15:chartTrackingRefBased/>
  <w15:docId w15:val="{8147A16F-F483-1D4A-932F-3BC33118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Times New Roman (Body CS)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1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F3C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820F3C"/>
  </w:style>
  <w:style w:type="paragraph" w:styleId="BalloonText">
    <w:name w:val="Balloon Text"/>
    <w:basedOn w:val="Normal"/>
    <w:link w:val="BalloonTextChar"/>
    <w:uiPriority w:val="99"/>
    <w:semiHidden/>
    <w:unhideWhenUsed/>
    <w:rsid w:val="002774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3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7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A33"/>
  </w:style>
  <w:style w:type="paragraph" w:styleId="Footer">
    <w:name w:val="footer"/>
    <w:basedOn w:val="Normal"/>
    <w:link w:val="FooterChar"/>
    <w:uiPriority w:val="99"/>
    <w:unhideWhenUsed/>
    <w:rsid w:val="0064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33"/>
  </w:style>
  <w:style w:type="character" w:styleId="PageNumber">
    <w:name w:val="page number"/>
    <w:basedOn w:val="DefaultParagraphFont"/>
    <w:uiPriority w:val="99"/>
    <w:semiHidden/>
    <w:unhideWhenUsed/>
    <w:rsid w:val="00642A33"/>
  </w:style>
  <w:style w:type="character" w:styleId="Hyperlink">
    <w:name w:val="Hyperlink"/>
    <w:basedOn w:val="DefaultParagraphFont"/>
    <w:uiPriority w:val="99"/>
    <w:unhideWhenUsed/>
    <w:rsid w:val="00A637B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3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ayyescleveland.org/integrated-heal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Ciesielski, Joseph</cp:lastModifiedBy>
  <cp:revision>2</cp:revision>
  <dcterms:created xsi:type="dcterms:W3CDTF">2021-02-04T16:14:00Z</dcterms:created>
  <dcterms:modified xsi:type="dcterms:W3CDTF">2021-02-04T16:14:00Z</dcterms:modified>
</cp:coreProperties>
</file>